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66"/>
        <w:gridCol w:w="4789"/>
      </w:tblGrid>
      <w:tr w:rsidR="00E50C37" w:rsidRPr="00686B3A" w:rsidTr="00D972A4">
        <w:tc>
          <w:tcPr>
            <w:tcW w:w="9355" w:type="dxa"/>
            <w:gridSpan w:val="2"/>
          </w:tcPr>
          <w:p w:rsidR="001F441A" w:rsidRPr="00686B3A" w:rsidRDefault="009778C3" w:rsidP="004114BD">
            <w:pPr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Вводится в действие </w:t>
            </w:r>
            <w:r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 xml:space="preserve">с </w:t>
            </w:r>
            <w:r w:rsidR="006E7C2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28</w:t>
            </w:r>
            <w:r w:rsidR="004A261A" w:rsidRPr="009862E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0</w:t>
            </w:r>
            <w:r w:rsidR="006E7C21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7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.2025</w:t>
            </w:r>
            <w:r w:rsidR="004A261A" w:rsidRPr="00E670F0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г</w:t>
            </w:r>
            <w:r w:rsidR="004A261A">
              <w:rPr>
                <w:rFonts w:ascii="Times New Roman" w:eastAsia="+mn-ea" w:hAnsi="Times New Roman" w:cs="Times New Roman"/>
                <w:b/>
                <w:bCs/>
                <w:color w:val="000000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c>
          <w:tcPr>
            <w:tcW w:w="4566" w:type="dxa"/>
          </w:tcPr>
          <w:p w:rsidR="00E50C37" w:rsidRPr="00686B3A" w:rsidRDefault="00922E8C" w:rsidP="008E0DF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8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33675" cy="5524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3675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9" w:type="dxa"/>
          </w:tcPr>
          <w:p w:rsidR="00DC26B8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 xml:space="preserve">В документе представлено краткое изложение ключевой информации, которая относится к стандартным условиям данного продукта. </w:t>
            </w:r>
          </w:p>
          <w:p w:rsidR="00E50C37" w:rsidRPr="00686B3A" w:rsidRDefault="00DC26B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color w:val="000000" w:themeColor="text1"/>
                <w:kern w:val="24"/>
              </w:rPr>
            </w:pPr>
            <w:r w:rsidRPr="00686B3A">
              <w:rPr>
                <w:color w:val="000000" w:themeColor="text1"/>
                <w:kern w:val="24"/>
              </w:rPr>
              <w:t>Информация, указанная в документе, не является рекламой и носит исключительно справочный характер.</w:t>
            </w:r>
          </w:p>
          <w:p w:rsidR="00DC26B8" w:rsidRPr="00686B3A" w:rsidRDefault="00DC26B8" w:rsidP="008E0DFF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bottom w:val="single" w:sz="4" w:space="0" w:color="auto"/>
            </w:tcBorders>
          </w:tcPr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Кредитная организация: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</w:t>
            </w:r>
            <w:r w:rsidRPr="00AD1763">
              <w:rPr>
                <w:b/>
                <w:bCs/>
                <w:color w:val="000000" w:themeColor="text1"/>
                <w:kern w:val="24"/>
                <w:sz w:val="22"/>
                <w:szCs w:val="22"/>
              </w:rPr>
              <w:t>АО «Банк «Агророс» (ИНН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: </w:t>
            </w:r>
            <w:r w:rsidRPr="00AD1763">
              <w:rPr>
                <w:sz w:val="22"/>
                <w:szCs w:val="22"/>
              </w:rPr>
              <w:t>6453033870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, ОГРН: </w:t>
            </w:r>
            <w:r w:rsidRPr="00AD1763">
              <w:rPr>
                <w:sz w:val="22"/>
                <w:szCs w:val="22"/>
              </w:rPr>
              <w:t>1026400001770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) </w:t>
            </w:r>
          </w:p>
          <w:p w:rsidR="007D0C37" w:rsidRPr="00AD1763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b/>
                <w:bCs/>
                <w:color w:val="000000"/>
                <w:kern w:val="24"/>
                <w:sz w:val="22"/>
                <w:szCs w:val="22"/>
              </w:rPr>
              <w:t>Контактная информация:</w:t>
            </w:r>
            <w:r w:rsidRPr="00AD1763">
              <w:rPr>
                <w:color w:val="000000"/>
                <w:kern w:val="24"/>
                <w:sz w:val="22"/>
                <w:szCs w:val="22"/>
              </w:rPr>
              <w:t xml:space="preserve"> адрес регистрации: 410017, Саратов, Чернышевского, 90, </w:t>
            </w:r>
          </w:p>
          <w:p w:rsidR="007D0C37" w:rsidRPr="006470CF" w:rsidRDefault="007D0C37" w:rsidP="007D0C37">
            <w:pPr>
              <w:pStyle w:val="a4"/>
              <w:spacing w:before="0" w:beforeAutospacing="0" w:after="0" w:afterAutospacing="0"/>
              <w:jc w:val="both"/>
              <w:rPr>
                <w:color w:val="000000"/>
                <w:kern w:val="24"/>
                <w:sz w:val="22"/>
                <w:szCs w:val="22"/>
              </w:rPr>
            </w:pPr>
            <w:r w:rsidRPr="00AD1763">
              <w:rPr>
                <w:color w:val="000000"/>
                <w:kern w:val="24"/>
                <w:sz w:val="22"/>
                <w:szCs w:val="22"/>
              </w:rPr>
              <w:t xml:space="preserve">контактный телефон:  8-800-222-44-19 (звонок по России бесплатный); </w:t>
            </w:r>
          </w:p>
          <w:p w:rsidR="00E50C37" w:rsidRPr="00686B3A" w:rsidRDefault="007D0C37" w:rsidP="007D0C37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AD1763">
              <w:rPr>
                <w:color w:val="000000"/>
                <w:kern w:val="24"/>
                <w:sz w:val="22"/>
                <w:szCs w:val="22"/>
              </w:rPr>
              <w:t>адрес электронной почты  bank@agroros.ru</w:t>
            </w:r>
            <w:r w:rsidRPr="00AD1763">
              <w:rPr>
                <w:color w:val="000000"/>
                <w:sz w:val="22"/>
                <w:szCs w:val="22"/>
              </w:rPr>
              <w:t xml:space="preserve">, </w:t>
            </w:r>
            <w:r w:rsidRPr="00AD1763">
              <w:rPr>
                <w:color w:val="000000"/>
                <w:kern w:val="24"/>
                <w:sz w:val="22"/>
                <w:szCs w:val="22"/>
              </w:rPr>
              <w:t>официальный сайт:  http://www.agroros.ru</w:t>
            </w:r>
          </w:p>
        </w:tc>
      </w:tr>
      <w:tr w:rsidR="007D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</w:tcPr>
          <w:p w:rsidR="007D0C37" w:rsidRPr="00AD1763" w:rsidRDefault="007D0C37" w:rsidP="00D71F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D1763">
              <w:rPr>
                <w:kern w:val="24"/>
                <w:sz w:val="22"/>
                <w:szCs w:val="22"/>
              </w:rPr>
              <w:t xml:space="preserve">Не является договором, частью договора, офертой и не порождает взаимные права и обязанности у сторон. Перед заключением договора необходимо внимательно ознакомиться с условиями договора, которые отражены в следующих документах: </w:t>
            </w:r>
            <w:r w:rsidRPr="00AD1763">
              <w:rPr>
                <w:sz w:val="22"/>
                <w:szCs w:val="22"/>
              </w:rPr>
              <w:t xml:space="preserve">Правила банковского обслуживания юридических лиц, индивидуальных </w:t>
            </w:r>
            <w:r w:rsidRPr="007D0C37">
              <w:rPr>
                <w:sz w:val="22"/>
                <w:szCs w:val="22"/>
              </w:rPr>
              <w:t>предпринимателей и физических лиц, в том числе занимающихся в установленном законодательством Российской Федерации порядке частной практикой, в АО «Банк «Агророс»</w:t>
            </w:r>
            <w:r w:rsidRPr="007D0C37">
              <w:rPr>
                <w:kern w:val="24"/>
                <w:sz w:val="22"/>
                <w:szCs w:val="22"/>
              </w:rPr>
              <w:t xml:space="preserve">; </w:t>
            </w:r>
            <w:r w:rsidRPr="007D0C37">
              <w:rPr>
                <w:sz w:val="22"/>
                <w:szCs w:val="22"/>
              </w:rPr>
              <w:t>Условия по вкладам физических лиц</w:t>
            </w:r>
            <w:r w:rsidR="007E44FC">
              <w:rPr>
                <w:sz w:val="22"/>
                <w:szCs w:val="22"/>
              </w:rPr>
              <w:t xml:space="preserve">; </w:t>
            </w:r>
            <w:r w:rsidR="007E44FC" w:rsidRPr="00B720DD">
              <w:rPr>
                <w:sz w:val="22"/>
                <w:szCs w:val="22"/>
              </w:rPr>
              <w:t>Сборник тарифов по обслуживанию физических лиц и по банковским картам для физических и юридических лиц</w:t>
            </w:r>
          </w:p>
        </w:tc>
      </w:tr>
      <w:tr w:rsidR="001072BD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72BD" w:rsidRPr="00AD1763" w:rsidRDefault="001072BD" w:rsidP="00D71F17">
            <w:pPr>
              <w:pStyle w:val="a4"/>
              <w:spacing w:before="0" w:beforeAutospacing="0" w:after="0" w:afterAutospacing="0"/>
              <w:jc w:val="both"/>
              <w:rPr>
                <w:kern w:val="24"/>
                <w:sz w:val="22"/>
                <w:szCs w:val="22"/>
              </w:rPr>
            </w:pPr>
          </w:p>
        </w:tc>
      </w:tr>
      <w:tr w:rsidR="001072BD" w:rsidRPr="00922E8C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1072BD" w:rsidRPr="00922E8C" w:rsidRDefault="001072BD" w:rsidP="009778C3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ЧТО ТАКОЕ НАКОПИТЕЛЬНЫЙ СЧЕТ «</w:t>
            </w:r>
            <w:r w:rsidR="009778C3">
              <w:rPr>
                <w:b/>
                <w:bCs/>
                <w:kern w:val="24"/>
              </w:rPr>
              <w:t>Копилка</w:t>
            </w:r>
            <w:r w:rsidR="004114BD">
              <w:rPr>
                <w:b/>
                <w:bCs/>
                <w:kern w:val="24"/>
              </w:rPr>
              <w:t xml:space="preserve"> Премиум</w:t>
            </w:r>
            <w:r>
              <w:rPr>
                <w:b/>
                <w:bCs/>
                <w:kern w:val="24"/>
              </w:rPr>
              <w:t>»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50C37" w:rsidRDefault="00E50C37" w:rsidP="00C1528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44FC" w:rsidRPr="00686B3A" w:rsidRDefault="003F17B2" w:rsidP="007E44F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Сберегательный пополняемый счет в российский рублях с начислением процентов.</w:t>
            </w:r>
            <w:r w:rsidRPr="00D97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У клиента может быть только </w:t>
            </w:r>
            <w:r w:rsidR="00567973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действующий накопительный счет "Копилка</w:t>
            </w:r>
            <w:r w:rsidR="004B2102">
              <w:rPr>
                <w:rFonts w:ascii="Times New Roman" w:hAnsi="Times New Roman" w:cs="Times New Roman"/>
                <w:sz w:val="24"/>
                <w:szCs w:val="24"/>
              </w:rPr>
              <w:t xml:space="preserve"> Премиум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>". Открытие нового накопительного счета "Копилка</w:t>
            </w:r>
            <w:r w:rsidR="004B2102">
              <w:rPr>
                <w:rFonts w:ascii="Times New Roman" w:hAnsi="Times New Roman" w:cs="Times New Roman"/>
                <w:sz w:val="24"/>
                <w:szCs w:val="24"/>
              </w:rPr>
              <w:t xml:space="preserve"> Премиум</w:t>
            </w:r>
            <w:r w:rsidR="007E44FC" w:rsidRPr="007E44FC">
              <w:rPr>
                <w:rFonts w:ascii="Times New Roman" w:hAnsi="Times New Roman" w:cs="Times New Roman"/>
                <w:sz w:val="24"/>
                <w:szCs w:val="24"/>
              </w:rPr>
              <w:t>" возможно после закрытия действующего.</w:t>
            </w:r>
          </w:p>
          <w:p w:rsidR="003F17B2" w:rsidRPr="00686B3A" w:rsidRDefault="003F17B2" w:rsidP="003F17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ОСНОВНЫЕ УСЛОВИЯ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640B4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Сумма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от </w:t>
            </w:r>
            <w:r w:rsidR="00D71F17">
              <w:rPr>
                <w:bCs/>
                <w:color w:val="000000" w:themeColor="text1"/>
                <w:kern w:val="24"/>
              </w:rPr>
              <w:t>0</w:t>
            </w:r>
            <w:r w:rsidRPr="00992598">
              <w:rPr>
                <w:bCs/>
                <w:color w:val="000000" w:themeColor="text1"/>
                <w:kern w:val="24"/>
              </w:rPr>
              <w:t xml:space="preserve"> руб.</w:t>
            </w:r>
          </w:p>
          <w:p w:rsidR="00992598" w:rsidRDefault="00992598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Валюта </w:t>
            </w:r>
            <w:r w:rsidR="00B03B26">
              <w:rPr>
                <w:b/>
                <w:bCs/>
                <w:color w:val="000000" w:themeColor="text1"/>
                <w:kern w:val="24"/>
              </w:rPr>
              <w:t>счета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FC0BDF">
              <w:rPr>
                <w:b/>
                <w:bCs/>
                <w:color w:val="000000" w:themeColor="text1"/>
                <w:kern w:val="24"/>
              </w:rPr>
              <w:t>–</w:t>
            </w:r>
            <w:r w:rsidRPr="00992598">
              <w:rPr>
                <w:b/>
                <w:bCs/>
                <w:color w:val="000000" w:themeColor="text1"/>
                <w:kern w:val="24"/>
              </w:rPr>
              <w:t xml:space="preserve"> </w:t>
            </w:r>
            <w:r w:rsidR="00320D54">
              <w:rPr>
                <w:bCs/>
                <w:color w:val="000000" w:themeColor="text1"/>
                <w:kern w:val="24"/>
              </w:rPr>
              <w:t>рубль РФ</w:t>
            </w:r>
          </w:p>
          <w:p w:rsidR="00FC0BDF" w:rsidRPr="002640B4" w:rsidRDefault="00FC0BDF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131B8">
              <w:rPr>
                <w:b/>
                <w:bCs/>
                <w:color w:val="000000" w:themeColor="text1"/>
                <w:kern w:val="24"/>
              </w:rPr>
              <w:t>Срок действия</w:t>
            </w:r>
            <w:r>
              <w:rPr>
                <w:bCs/>
                <w:color w:val="000000" w:themeColor="text1"/>
                <w:kern w:val="24"/>
              </w:rPr>
              <w:t xml:space="preserve"> - бессрочно</w:t>
            </w:r>
          </w:p>
          <w:p w:rsidR="00D71F17" w:rsidRDefault="00992598" w:rsidP="00D71F17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дистанционного обслуживания – </w:t>
            </w:r>
            <w:r w:rsidRPr="00992598">
              <w:rPr>
                <w:bCs/>
                <w:color w:val="000000" w:themeColor="text1"/>
                <w:kern w:val="24"/>
              </w:rPr>
              <w:t xml:space="preserve">сервис </w:t>
            </w:r>
            <w:r w:rsidR="00916101" w:rsidRPr="00916101">
              <w:rPr>
                <w:bCs/>
                <w:color w:val="000000" w:themeColor="text1"/>
                <w:kern w:val="24"/>
              </w:rPr>
              <w:t>Агророс онлайн 2.0</w:t>
            </w:r>
          </w:p>
          <w:p w:rsidR="00CF4568" w:rsidRPr="005151DA" w:rsidRDefault="00CF4568" w:rsidP="00CF4568">
            <w:pPr>
              <w:pStyle w:val="a4"/>
              <w:spacing w:before="0" w:beforeAutospacing="0" w:after="0" w:afterAutospacing="0"/>
              <w:contextualSpacing/>
              <w:jc w:val="both"/>
              <w:rPr>
                <w:bCs/>
                <w:color w:val="000000" w:themeColor="text1"/>
                <w:kern w:val="24"/>
              </w:rPr>
            </w:pPr>
            <w:r>
              <w:rPr>
                <w:b/>
                <w:bCs/>
                <w:color w:val="000000" w:themeColor="text1"/>
                <w:kern w:val="24"/>
              </w:rPr>
              <w:t>Счет</w:t>
            </w:r>
            <w:r w:rsidRPr="00CF044F">
              <w:rPr>
                <w:b/>
                <w:bCs/>
                <w:color w:val="000000" w:themeColor="text1"/>
                <w:kern w:val="24"/>
              </w:rPr>
              <w:t xml:space="preserve"> доступен для оформления</w:t>
            </w:r>
            <w:r w:rsidRPr="00245ECF">
              <w:t xml:space="preserve"> </w:t>
            </w:r>
            <w:r w:rsidRPr="00CF044F">
              <w:t xml:space="preserve">клиентам, которые на день открытия </w:t>
            </w:r>
            <w:r>
              <w:t xml:space="preserve">счета </w:t>
            </w:r>
            <w:r w:rsidRPr="00CF044F">
              <w:t xml:space="preserve">подключили </w:t>
            </w:r>
            <w:r w:rsidRPr="00CF044F">
              <w:rPr>
                <w:b/>
              </w:rPr>
              <w:t>пакет банковских услуг «Агророс Премиум»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B03B26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 xml:space="preserve">ПРОЦЕНТЫ ПО </w:t>
            </w:r>
            <w:r w:rsidR="00B03B26">
              <w:rPr>
                <w:b/>
                <w:bCs/>
                <w:kern w:val="24"/>
              </w:rPr>
              <w:t>СЧЕТУ</w:t>
            </w:r>
          </w:p>
        </w:tc>
      </w:tr>
      <w:tr w:rsidR="00E50C37" w:rsidRPr="00F2120D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E50E4" w:rsidRPr="004C2F7F" w:rsidRDefault="007E44FC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F2120D">
              <w:rPr>
                <w:b/>
                <w:bCs/>
                <w:color w:val="000000" w:themeColor="text1"/>
                <w:kern w:val="24"/>
              </w:rPr>
              <w:t>Минимальная гарантированная процентная ставка</w:t>
            </w:r>
            <w:r>
              <w:rPr>
                <w:b/>
                <w:bCs/>
                <w:color w:val="000000" w:themeColor="text1"/>
                <w:kern w:val="24"/>
              </w:rPr>
              <w:t xml:space="preserve"> (минимальная сумма </w:t>
            </w:r>
            <w:r w:rsidRPr="00214A47">
              <w:rPr>
                <w:b/>
                <w:bCs/>
                <w:color w:val="000000" w:themeColor="text1"/>
                <w:kern w:val="24"/>
              </w:rPr>
              <w:t xml:space="preserve">процентов, </w:t>
            </w:r>
            <w:r w:rsidRPr="004C2F7F">
              <w:rPr>
                <w:b/>
                <w:bCs/>
                <w:kern w:val="24"/>
              </w:rPr>
              <w:t>которые будут выплачены клиенту за год на минимально возможную сумму для размещения без учета дополнительных условий)</w:t>
            </w:r>
            <w:r w:rsidR="00BE50E4" w:rsidRPr="004C2F7F">
              <w:rPr>
                <w:b/>
                <w:bCs/>
                <w:kern w:val="24"/>
              </w:rPr>
              <w:t>: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1</w:t>
            </w:r>
            <w:r w:rsidR="006E7C21">
              <w:t>1</w:t>
            </w:r>
            <w:r w:rsidRPr="004C2F7F">
              <w:t>.</w:t>
            </w:r>
            <w:r w:rsidR="004114BD">
              <w:t>5</w:t>
            </w:r>
            <w:r w:rsidRPr="004C2F7F">
              <w:t>0</w:t>
            </w:r>
            <w:r w:rsidR="007D340D" w:rsidRPr="004C2F7F">
              <w:t>0</w:t>
            </w:r>
            <w:r w:rsidRPr="004C2F7F">
              <w:t xml:space="preserve">% годовых – применяется к </w:t>
            </w:r>
            <w:r w:rsidR="00D71A1B" w:rsidRPr="004C2F7F">
              <w:t xml:space="preserve">части суммы на счете </w:t>
            </w:r>
            <w:r w:rsidRPr="004C2F7F">
              <w:t xml:space="preserve">до </w:t>
            </w:r>
            <w:r w:rsidR="004114BD">
              <w:t>2</w:t>
            </w:r>
            <w:r w:rsidRPr="004C2F7F">
              <w:t xml:space="preserve">000000,00 </w:t>
            </w:r>
            <w:r w:rsidR="00B2270B" w:rsidRPr="004C2F7F">
              <w:t xml:space="preserve"> р</w:t>
            </w:r>
            <w:r w:rsidRPr="004C2F7F">
              <w:t>ублей РФ</w:t>
            </w:r>
            <w:r w:rsidR="00B2270B" w:rsidRPr="004C2F7F">
              <w:t xml:space="preserve"> (включительно)</w:t>
            </w:r>
          </w:p>
          <w:p w:rsidR="0065062F" w:rsidRPr="004C2F7F" w:rsidRDefault="0065062F" w:rsidP="008E0DFF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4C2F7F">
              <w:t>0.01% годовых</w:t>
            </w:r>
            <w:r w:rsidR="00BE50E4" w:rsidRPr="004C2F7F">
              <w:t xml:space="preserve"> – применяется к части </w:t>
            </w:r>
            <w:r w:rsidR="00D71A1B" w:rsidRPr="004C2F7F">
              <w:t>суммы</w:t>
            </w:r>
            <w:r w:rsidR="00BE50E4" w:rsidRPr="004C2F7F">
              <w:t xml:space="preserve"> на счете </w:t>
            </w:r>
            <w:r w:rsidR="004114BD">
              <w:t>2</w:t>
            </w:r>
            <w:r w:rsidR="00BE50E4" w:rsidRPr="004C2F7F">
              <w:t>000000,0</w:t>
            </w:r>
            <w:r w:rsidR="00B2270B" w:rsidRPr="004C2F7F">
              <w:t>1 р</w:t>
            </w:r>
            <w:r w:rsidR="00BE50E4" w:rsidRPr="004C2F7F">
              <w:t>ублей РФ</w:t>
            </w:r>
            <w:r w:rsidR="00B2270B" w:rsidRPr="004C2F7F">
              <w:t xml:space="preserve"> и более</w:t>
            </w:r>
            <w:r w:rsidRPr="004C2F7F">
              <w:t>.</w:t>
            </w:r>
          </w:p>
          <w:p w:rsidR="00BE50E4" w:rsidRPr="004C2F7F" w:rsidRDefault="00BE50E4" w:rsidP="008E0DFF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t>1</w:t>
            </w:r>
            <w:r w:rsidR="006E7C21">
              <w:t>6</w:t>
            </w:r>
            <w:r w:rsidRPr="004C2F7F">
              <w:t>.00</w:t>
            </w:r>
            <w:r w:rsidR="00B2270B" w:rsidRPr="004C2F7F">
              <w:t>0</w:t>
            </w:r>
            <w:r w:rsidRPr="004C2F7F">
              <w:t xml:space="preserve">% годовых – </w:t>
            </w:r>
            <w:r w:rsidR="00D412EB" w:rsidRPr="004C2F7F">
              <w:t xml:space="preserve">применяется к </w:t>
            </w:r>
            <w:r w:rsidR="00D71A1B" w:rsidRPr="004C2F7F">
              <w:t xml:space="preserve">части суммы на счете </w:t>
            </w:r>
            <w:r w:rsidR="00D412EB" w:rsidRPr="004C2F7F">
              <w:t xml:space="preserve">до </w:t>
            </w:r>
            <w:r w:rsidR="004114BD">
              <w:t>2</w:t>
            </w:r>
            <w:r w:rsidR="00D412EB" w:rsidRPr="004C2F7F">
              <w:t xml:space="preserve">000000,00 </w:t>
            </w:r>
            <w:r w:rsidR="00B2270B" w:rsidRPr="004C2F7F">
              <w:t>р</w:t>
            </w:r>
            <w:r w:rsidR="00D412EB" w:rsidRPr="004C2F7F">
              <w:t xml:space="preserve">ублей РФ </w:t>
            </w:r>
            <w:proofErr w:type="gramStart"/>
            <w:r w:rsidR="00D412EB" w:rsidRPr="004C2F7F">
              <w:t xml:space="preserve">в </w:t>
            </w:r>
            <w:r w:rsidRPr="004C2F7F">
              <w:t>первые</w:t>
            </w:r>
            <w:proofErr w:type="gramEnd"/>
            <w:r w:rsidRPr="004C2F7F">
              <w:t xml:space="preserve"> 2 месяца для </w:t>
            </w:r>
            <w:r w:rsidR="00214A47" w:rsidRPr="004C2F7F">
              <w:t>первого счета Копилка</w:t>
            </w:r>
            <w:r w:rsidR="004B2102">
              <w:t xml:space="preserve"> </w:t>
            </w:r>
            <w:r w:rsidR="004B2102" w:rsidRPr="004B2102">
              <w:rPr>
                <w:iCs/>
                <w:kern w:val="24"/>
              </w:rPr>
              <w:t>Премиум</w:t>
            </w:r>
            <w:r w:rsidR="00214A47" w:rsidRPr="004C2F7F">
              <w:t xml:space="preserve"> для клиентов, которые на день открытия счета не имели открытых срочных вкладов в АО "Банк "Агророс"</w:t>
            </w:r>
          </w:p>
          <w:p w:rsidR="00D412EB" w:rsidRPr="00214A47" w:rsidRDefault="007E44FC" w:rsidP="00D412EB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kern w:val="24"/>
              </w:rPr>
            </w:pPr>
            <w:r w:rsidRPr="004C2F7F">
              <w:rPr>
                <w:iCs/>
                <w:kern w:val="24"/>
              </w:rPr>
              <w:t>Процентная ставка может быть изменена Банком в одностороннем</w:t>
            </w:r>
            <w:r w:rsidRPr="00214A47">
              <w:rPr>
                <w:iCs/>
                <w:kern w:val="24"/>
              </w:rPr>
              <w:t xml:space="preserve"> порядке. </w:t>
            </w:r>
            <w:r w:rsidR="008A5740" w:rsidRPr="00214A47">
              <w:rPr>
                <w:b/>
                <w:bCs/>
                <w:kern w:val="24"/>
              </w:rPr>
              <w:t>Мак</w:t>
            </w:r>
            <w:r w:rsidR="00992598" w:rsidRPr="00214A47">
              <w:rPr>
                <w:b/>
                <w:bCs/>
                <w:kern w:val="24"/>
              </w:rPr>
              <w:t>симально возможная процентная ставка</w:t>
            </w:r>
            <w:r w:rsidR="00D412EB" w:rsidRPr="00214A47">
              <w:rPr>
                <w:b/>
                <w:bCs/>
                <w:kern w:val="24"/>
              </w:rPr>
              <w:t>:</w:t>
            </w:r>
            <w:r w:rsidR="00992598" w:rsidRPr="00214A47">
              <w:rPr>
                <w:b/>
                <w:bCs/>
                <w:kern w:val="24"/>
              </w:rPr>
              <w:t xml:space="preserve"> </w:t>
            </w:r>
          </w:p>
          <w:p w:rsidR="00D412EB" w:rsidRPr="00214A47" w:rsidRDefault="006E7C21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>
              <w:t>11</w:t>
            </w:r>
            <w:r w:rsidR="00D412EB" w:rsidRPr="00214A47">
              <w:t>.</w:t>
            </w:r>
            <w:r w:rsidR="004114BD">
              <w:t>5</w:t>
            </w:r>
            <w:r w:rsidR="00D412EB" w:rsidRPr="00214A47">
              <w:t xml:space="preserve">0% годовых – </w:t>
            </w:r>
            <w:r w:rsidR="00D71A1B" w:rsidRPr="00214A47">
              <w:t xml:space="preserve">применяется к части суммы на счете </w:t>
            </w:r>
            <w:r w:rsidR="00974470">
              <w:t>до 2</w:t>
            </w:r>
            <w:r w:rsidR="00D412EB" w:rsidRPr="00214A47">
              <w:t xml:space="preserve">000000,00 </w:t>
            </w:r>
            <w:r w:rsidR="001274AB">
              <w:t>р</w:t>
            </w:r>
            <w:r w:rsidR="00D412EB" w:rsidRPr="00214A47">
              <w:t>ублей РФ</w:t>
            </w:r>
            <w:r w:rsidR="001274AB">
              <w:t xml:space="preserve"> </w:t>
            </w:r>
            <w:r w:rsidR="001274AB">
              <w:lastRenderedPageBreak/>
              <w:t>(включительно)</w:t>
            </w:r>
          </w:p>
          <w:p w:rsidR="00D412EB" w:rsidRPr="00214A47" w:rsidRDefault="00D412EB" w:rsidP="00D412EB">
            <w:pPr>
              <w:pStyle w:val="a4"/>
              <w:spacing w:before="0" w:beforeAutospacing="0" w:after="0" w:afterAutospacing="0"/>
              <w:contextualSpacing/>
              <w:jc w:val="both"/>
            </w:pPr>
            <w:r w:rsidRPr="00214A47">
              <w:t>0.01% годовых –</w:t>
            </w:r>
            <w:r w:rsidR="00D71A1B" w:rsidRPr="00214A47">
              <w:t xml:space="preserve"> применяется к части суммы на счете </w:t>
            </w:r>
            <w:r w:rsidR="00974470">
              <w:t>2</w:t>
            </w:r>
            <w:r w:rsidRPr="00214A47">
              <w:t>000000,0</w:t>
            </w:r>
            <w:r w:rsidR="001274AB">
              <w:t>1</w:t>
            </w:r>
            <w:r w:rsidRPr="00214A47">
              <w:t xml:space="preserve"> </w:t>
            </w:r>
            <w:r w:rsidR="001274AB">
              <w:t>р</w:t>
            </w:r>
            <w:r w:rsidRPr="00214A47">
              <w:t>ублей РФ</w:t>
            </w:r>
            <w:r w:rsidR="001274AB">
              <w:t xml:space="preserve"> и </w:t>
            </w:r>
            <w:r w:rsidR="001274AB" w:rsidRPr="00214A47">
              <w:t>более</w:t>
            </w:r>
            <w:r w:rsidRPr="00214A47">
              <w:t>.</w:t>
            </w:r>
          </w:p>
          <w:p w:rsidR="00567973" w:rsidRPr="00D412EB" w:rsidRDefault="00D412EB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b/>
                <w:bCs/>
                <w:color w:val="000000" w:themeColor="text1"/>
                <w:kern w:val="24"/>
              </w:rPr>
            </w:pPr>
            <w:r w:rsidRPr="00214A47">
              <w:t>1</w:t>
            </w:r>
            <w:r w:rsidR="006E7C21">
              <w:t>6</w:t>
            </w:r>
            <w:r w:rsidRPr="00214A47">
              <w:t xml:space="preserve">.00% годовых – </w:t>
            </w:r>
            <w:r w:rsidR="00D71A1B" w:rsidRPr="00214A47">
              <w:t xml:space="preserve">применяется к части суммы на счете </w:t>
            </w:r>
            <w:r w:rsidR="00974470">
              <w:t>до 2</w:t>
            </w:r>
            <w:bookmarkStart w:id="0" w:name="_GoBack"/>
            <w:bookmarkEnd w:id="0"/>
            <w:r w:rsidRPr="00214A47">
              <w:t>000000</w:t>
            </w:r>
            <w:r w:rsidR="001274AB">
              <w:t>,00 р</w:t>
            </w:r>
            <w:r w:rsidRPr="00D71A1B">
              <w:t>ублей РФ</w:t>
            </w:r>
            <w:r w:rsidR="00C82DB7">
              <w:t xml:space="preserve"> (включительно)</w:t>
            </w:r>
            <w:r w:rsidRPr="00D71A1B">
              <w:t xml:space="preserve"> </w:t>
            </w:r>
            <w:proofErr w:type="gramStart"/>
            <w:r w:rsidRPr="00D71A1B">
              <w:t>в первые</w:t>
            </w:r>
            <w:proofErr w:type="gramEnd"/>
            <w:r w:rsidRPr="00D71A1B">
              <w:t xml:space="preserve"> 2 месяца </w:t>
            </w:r>
            <w:r w:rsidR="00214A47" w:rsidRPr="00214A47">
              <w:t>для первого счета Копилка</w:t>
            </w:r>
            <w:r w:rsidR="004B2102">
              <w:t xml:space="preserve"> Премиум</w:t>
            </w:r>
            <w:r w:rsidR="00214A47" w:rsidRPr="00214A47">
              <w:t xml:space="preserve"> для клиентов, которые на день открытия счета не имели открытых срочных вкладов в АО "Банк "Агророс"</w:t>
            </w:r>
            <w:r>
              <w:rPr>
                <w:b/>
                <w:bCs/>
                <w:color w:val="000000" w:themeColor="text1"/>
                <w:kern w:val="24"/>
              </w:rPr>
              <w:t>.</w:t>
            </w:r>
          </w:p>
          <w:p w:rsidR="00597883" w:rsidRPr="005151DA" w:rsidRDefault="00597883" w:rsidP="00597883">
            <w:pPr>
              <w:pStyle w:val="a4"/>
              <w:spacing w:before="0" w:beforeAutospacing="0" w:after="0" w:afterAutospacing="0"/>
              <w:contextualSpacing/>
              <w:jc w:val="both"/>
              <w:rPr>
                <w:iCs/>
                <w:kern w:val="24"/>
              </w:rPr>
            </w:pPr>
            <w:r w:rsidRPr="005151DA">
              <w:rPr>
                <w:iCs/>
                <w:kern w:val="24"/>
              </w:rPr>
              <w:t>Процентная ставка может быть изменена Банком в одностороннем порядке</w:t>
            </w:r>
            <w:r w:rsidR="00320D54" w:rsidRPr="005151DA">
              <w:rPr>
                <w:iCs/>
                <w:kern w:val="24"/>
              </w:rPr>
              <w:t>.</w:t>
            </w:r>
          </w:p>
          <w:p w:rsidR="00992598" w:rsidRPr="005151DA" w:rsidRDefault="00992598" w:rsidP="008E0DFF">
            <w:pPr>
              <w:tabs>
                <w:tab w:val="left" w:pos="1134"/>
                <w:tab w:val="num" w:pos="1797"/>
              </w:tabs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1DA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Дополнительные условия, влияющие на процентную ставку</w:t>
            </w:r>
            <w:r w:rsidRPr="005151DA">
              <w:rPr>
                <w:b/>
                <w:bCs/>
                <w:kern w:val="24"/>
                <w:sz w:val="24"/>
                <w:szCs w:val="24"/>
              </w:rPr>
              <w:t xml:space="preserve"> </w:t>
            </w:r>
            <w:r w:rsidR="00A47C27" w:rsidRPr="005151DA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в первые 2 месяца для первого накопительного счета «Копилка</w:t>
            </w:r>
            <w:r w:rsidR="004B2102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 </w:t>
            </w:r>
            <w:r w:rsidR="004B2102" w:rsidRPr="004B2102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Премиум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» для клиентов, которые на день открытия счета не имели открытых срочных вкладов в АО "Банк "Агророс" действует повышенная </w:t>
            </w:r>
            <w:r w:rsidR="00F46FBF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 xml:space="preserve">процентная </w:t>
            </w:r>
            <w:r w:rsidR="00567973" w:rsidRPr="00567973">
              <w:rPr>
                <w:rFonts w:ascii="Times New Roman" w:eastAsiaTheme="minorEastAsia" w:hAnsi="Times New Roman" w:cs="Times New Roman"/>
                <w:iCs/>
                <w:kern w:val="24"/>
                <w:sz w:val="24"/>
                <w:szCs w:val="24"/>
                <w:lang w:eastAsia="ru-RU"/>
              </w:rPr>
              <w:t>ставка.</w:t>
            </w:r>
          </w:p>
          <w:p w:rsidR="00686B3A" w:rsidRPr="00F2120D" w:rsidRDefault="00597883" w:rsidP="009778C3">
            <w:pPr>
              <w:pStyle w:val="af2"/>
              <w:contextualSpacing/>
              <w:jc w:val="both"/>
            </w:pPr>
            <w:r w:rsidRPr="005151DA">
              <w:rPr>
                <w:b/>
                <w:bCs/>
                <w:kern w:val="24"/>
              </w:rPr>
              <w:t xml:space="preserve">Порядок начисления и получения процентов </w:t>
            </w:r>
            <w:r w:rsidRPr="005151DA">
              <w:t xml:space="preserve">– </w:t>
            </w:r>
            <w:r w:rsidR="00A47C27" w:rsidRPr="005151DA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начисление процентов осуществ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ляется на фактический остаток денежных средств на счете на начало операционного дня по процентной ставке, установленной Банком для Накопительного счета «</w:t>
            </w:r>
            <w:r w:rsidR="009778C3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Копилка</w:t>
            </w:r>
            <w:r w:rsidR="004B2102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 xml:space="preserve"> </w:t>
            </w:r>
            <w:r w:rsidR="004B2102" w:rsidRPr="004B2102">
              <w:rPr>
                <w:rFonts w:eastAsiaTheme="minorEastAsia"/>
                <w:iCs/>
                <w:kern w:val="24"/>
                <w:sz w:val="24"/>
                <w:szCs w:val="24"/>
                <w:lang w:eastAsia="ru-RU"/>
              </w:rPr>
              <w:t>Премиум</w:t>
            </w:r>
            <w:r w:rsidR="00A47C27" w:rsidRPr="00D257B4">
              <w:rPr>
                <w:rFonts w:eastAsiaTheme="minorEastAsia"/>
                <w:iCs/>
                <w:color w:val="000000" w:themeColor="text1"/>
                <w:kern w:val="24"/>
                <w:sz w:val="24"/>
                <w:szCs w:val="24"/>
                <w:lang w:eastAsia="ru-RU"/>
              </w:rPr>
              <w:t>» в российских рублях на соответствующую дату. Выплата процентов производится ежемесячно в последний день месяца путем зачисления суммы причитающихся процентов на счет. В случае если день выплаты процентов по счету приходится на выходной или праздничный день, установленный в соответствии с законодательством РФ, то днем выплаты процентов по счету считается ближайший, следующий за ним, рабочий день.</w:t>
            </w:r>
            <w:r w:rsidR="00A47C27">
              <w:t xml:space="preserve"> 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F78C8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lastRenderedPageBreak/>
              <w:t xml:space="preserve">ОПЕРАЦИИ ПО </w:t>
            </w:r>
            <w:r w:rsidR="001F78C8">
              <w:rPr>
                <w:b/>
                <w:bCs/>
                <w:kern w:val="24"/>
              </w:rPr>
              <w:t>СЧЕТУ</w:t>
            </w:r>
          </w:p>
        </w:tc>
      </w:tr>
      <w:tr w:rsidR="00E50C37" w:rsidRPr="00992598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B36E7" w:rsidRPr="000B36E7" w:rsidRDefault="00992598" w:rsidP="000B36E7">
            <w:pPr>
              <w:pStyle w:val="af2"/>
              <w:jc w:val="both"/>
              <w:rPr>
                <w:rFonts w:eastAsiaTheme="minorHAnsi"/>
                <w:sz w:val="24"/>
                <w:szCs w:val="24"/>
              </w:rPr>
            </w:pPr>
            <w:r w:rsidRPr="00992598">
              <w:rPr>
                <w:b/>
                <w:bCs/>
                <w:color w:val="000000" w:themeColor="text1"/>
                <w:kern w:val="24"/>
              </w:rPr>
              <w:t xml:space="preserve">Возможность пополнения –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д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ополнительные взносы </w:t>
            </w:r>
            <w:r w:rsidR="00F728F5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на счет</w:t>
            </w:r>
            <w:r w:rsidR="000B36E7"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 xml:space="preserve"> вносятся без ограничений. Минимальный размер дополнительного взноса не ограничен.</w:t>
            </w:r>
          </w:p>
          <w:p w:rsidR="00992598" w:rsidRPr="002640B4" w:rsidRDefault="00F728F5" w:rsidP="00F728F5">
            <w:pPr>
              <w:pStyle w:val="af2"/>
              <w:jc w:val="both"/>
              <w:rPr>
                <w:color w:val="000000"/>
              </w:rPr>
            </w:pPr>
            <w:r>
              <w:rPr>
                <w:b/>
                <w:bCs/>
                <w:color w:val="000000" w:themeColor="text1"/>
                <w:kern w:val="24"/>
              </w:rPr>
              <w:t>Возможность снятия денежных средств</w:t>
            </w:r>
            <w:r w:rsidR="00992598" w:rsidRPr="00992598">
              <w:rPr>
                <w:b/>
                <w:bCs/>
                <w:color w:val="000000" w:themeColor="text1"/>
                <w:kern w:val="24"/>
              </w:rPr>
              <w:t xml:space="preserve"> – </w:t>
            </w:r>
            <w:r w:rsidRPr="00D257B4">
              <w:rPr>
                <w:rFonts w:eastAsiaTheme="minorHAnsi"/>
                <w:bCs/>
                <w:color w:val="000000" w:themeColor="text1"/>
                <w:kern w:val="24"/>
                <w:sz w:val="24"/>
                <w:szCs w:val="24"/>
              </w:rPr>
              <w:t>в пределах суммы остатка средств.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7B6919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>
              <w:rPr>
                <w:b/>
                <w:bCs/>
                <w:kern w:val="24"/>
              </w:rPr>
              <w:t>ПОРЯДОК ЗАКРЫТИЯ СЧЕТА</w:t>
            </w:r>
          </w:p>
        </w:tc>
      </w:tr>
      <w:tr w:rsidR="00E50C37" w:rsidRPr="002640B4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BE479D" w:rsidRDefault="002A044D" w:rsidP="002A044D">
            <w:pPr>
              <w:contextualSpacing/>
              <w:jc w:val="both"/>
              <w:rPr>
                <w:rFonts w:ascii="Times New Roman" w:hAnsi="Times New Roman" w:cs="Times New Roman"/>
                <w:bCs/>
                <w:color w:val="FF0000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клиента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- </w:t>
            </w:r>
            <w:r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п</w:t>
            </w:r>
            <w:r w:rsidR="00F728F5" w:rsidRPr="004C2F7F"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утем подачи заявления в любом подразделении Банка, а также посредством направления заявления в мобильном приложении Агророс онлайн 2.0 (при наличии технической возможности).</w:t>
            </w:r>
          </w:p>
          <w:p w:rsidR="002A044D" w:rsidRPr="002640B4" w:rsidRDefault="002A044D" w:rsidP="00EE6933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2A044D">
              <w:rPr>
                <w:rFonts w:ascii="Times New Roman" w:hAnsi="Times New Roman" w:cs="Times New Roman"/>
                <w:b/>
                <w:bCs/>
                <w:color w:val="000000" w:themeColor="text1"/>
                <w:kern w:val="24"/>
                <w:sz w:val="24"/>
                <w:szCs w:val="24"/>
              </w:rPr>
              <w:t>По инициативе Банка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– 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требованиями д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ействующ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его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законодательств</w:t>
            </w:r>
            <w:r w:rsidR="00EE6933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8E0DFF">
            <w:pPr>
              <w:pStyle w:val="a4"/>
              <w:spacing w:before="0" w:beforeAutospacing="0" w:after="0" w:afterAutospacing="0"/>
              <w:contextualSpacing/>
              <w:jc w:val="center"/>
            </w:pPr>
            <w:r w:rsidRPr="00922E8C">
              <w:rPr>
                <w:b/>
                <w:bCs/>
                <w:kern w:val="24"/>
              </w:rPr>
              <w:t>РАСХОДЫ ПОТРЕБИТЕЛЯ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1F78C8" w:rsidP="008E0DFF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Расходы потребителя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по открытию, обслуживанию и прекращению действия договора 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накопительного счета</w:t>
            </w:r>
            <w:r w:rsidR="001F441A"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отсутствуют</w:t>
            </w:r>
            <w:r w:rsidR="001072BD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  <w:p w:rsidR="001F441A" w:rsidRPr="00686B3A" w:rsidRDefault="001F441A" w:rsidP="007D0C37">
            <w:pPr>
              <w:contextualSpacing/>
              <w:jc w:val="both"/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</w:pP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Расходы потребителя зависят от приобретения потребителем дополнительных услуг согласно 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Сборник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 тарифов АО 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Банк 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«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Агророс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="007D0C37" w:rsidRP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 xml:space="preserve">  по обслуживанию физических лиц и по банковским картам для физических и юридических лиц</w:t>
            </w:r>
            <w:r w:rsidR="007D0C3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»</w:t>
            </w:r>
            <w:r w:rsidRPr="00686B3A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E50C37" w:rsidP="001072BD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  <w:bCs/>
                <w:kern w:val="24"/>
              </w:rPr>
            </w:pPr>
            <w:r w:rsidRPr="00922E8C">
              <w:rPr>
                <w:b/>
                <w:bCs/>
                <w:kern w:val="24"/>
              </w:rPr>
              <w:t>СТРАХОВАНИ</w:t>
            </w:r>
            <w:r w:rsidR="001072BD">
              <w:rPr>
                <w:b/>
                <w:bCs/>
                <w:kern w:val="24"/>
              </w:rPr>
              <w:t>Е ДЕНЕЖНЫХ СРЕДСТВ, РАЗМЕЩЕННЫХ НА СЧЕТЕ</w:t>
            </w:r>
          </w:p>
        </w:tc>
      </w:tr>
      <w:tr w:rsidR="00E50C37" w:rsidRPr="00686B3A" w:rsidTr="00D972A4">
        <w:tc>
          <w:tcPr>
            <w:tcW w:w="935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F441A" w:rsidRPr="00686B3A" w:rsidRDefault="002640B4" w:rsidP="008E0DF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5324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В соответствии с Федеральным законом от 23.12.2003 N 177-ФЗ «О страховании вкладов в банках Российской Федерации» денежные средства застрахованы в пределах 1,4 млн. руб. (либо в пределах эквивалентной суммы в иностранной валюте на день наступления страхового случая) по всем счетам в Банке</w:t>
            </w:r>
            <w:r w:rsidR="000B36E7">
              <w:rPr>
                <w:rFonts w:ascii="Times New Roman" w:hAnsi="Times New Roman" w:cs="Times New Roman"/>
                <w:bCs/>
                <w:color w:val="000000" w:themeColor="text1"/>
                <w:kern w:val="24"/>
                <w:sz w:val="24"/>
                <w:szCs w:val="24"/>
              </w:rPr>
              <w:t>.</w:t>
            </w:r>
          </w:p>
        </w:tc>
      </w:tr>
      <w:tr w:rsidR="00E50C37" w:rsidRPr="00686B3A" w:rsidTr="00D972A4">
        <w:trPr>
          <w:trHeight w:val="567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0EF95"/>
            <w:vAlign w:val="center"/>
          </w:tcPr>
          <w:p w:rsidR="00E50C37" w:rsidRPr="00922E8C" w:rsidRDefault="001F441A" w:rsidP="008E0DFF">
            <w:pPr>
              <w:pStyle w:val="a4"/>
              <w:spacing w:before="0" w:beforeAutospacing="0" w:after="0" w:afterAutospacing="0"/>
              <w:contextualSpacing/>
              <w:jc w:val="center"/>
              <w:rPr>
                <w:b/>
              </w:rPr>
            </w:pPr>
            <w:r w:rsidRPr="00922E8C">
              <w:rPr>
                <w:b/>
                <w:kern w:val="24"/>
              </w:rPr>
              <w:t>СПОСОБЫ НАПРАВЛЕНИЯ ОБРАЩЕНИЙ В БАНК</w:t>
            </w:r>
          </w:p>
        </w:tc>
      </w:tr>
      <w:tr w:rsidR="007D0C37" w:rsidRPr="007D0C37" w:rsidTr="00D972A4">
        <w:tc>
          <w:tcPr>
            <w:tcW w:w="9355" w:type="dxa"/>
            <w:gridSpan w:val="2"/>
            <w:tcBorders>
              <w:top w:val="single" w:sz="4" w:space="0" w:color="auto"/>
            </w:tcBorders>
          </w:tcPr>
          <w:p w:rsidR="007D0C37" w:rsidRPr="007D0C37" w:rsidRDefault="007D0C37" w:rsidP="00D71F17">
            <w:pPr>
              <w:keepNext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D0C3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 любым вопросам можно обратиться: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в Контактный-центр Банка по телефонам: 8-800-222-44-19 (звонок по России бесплатный);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путем личного посещения подразделения Банка;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письменно на адрес регистрации: 410017, Саратов, Чернышевского, 90;  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>письмом на адрес электронной почты bank@agroros.ru;</w:t>
            </w:r>
          </w:p>
          <w:p w:rsidR="007D0C37" w:rsidRPr="007D0C37" w:rsidRDefault="007D0C37" w:rsidP="00D71F17">
            <w:pPr>
              <w:pStyle w:val="a9"/>
              <w:numPr>
                <w:ilvl w:val="0"/>
                <w:numId w:val="1"/>
              </w:numPr>
              <w:ind w:left="0" w:firstLine="360"/>
              <w:contextualSpacing/>
              <w:rPr>
                <w:rFonts w:ascii="Times New Roman" w:hAnsi="Times New Roman"/>
                <w:sz w:val="24"/>
              </w:rPr>
            </w:pPr>
            <w:r w:rsidRPr="007D0C37">
              <w:rPr>
                <w:rFonts w:ascii="Times New Roman" w:hAnsi="Times New Roman"/>
                <w:sz w:val="24"/>
              </w:rPr>
              <w:t xml:space="preserve">составив форму обращения к Онлайн-консультанту на официальном сайте Банка или в мобильном приложении Агророс онлайн </w:t>
            </w:r>
            <w:r w:rsidR="00305337" w:rsidRPr="00916101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>2.0</w:t>
            </w:r>
            <w:r w:rsidR="00305337">
              <w:rPr>
                <w:rFonts w:ascii="Times New Roman" w:hAnsi="Times New Roman"/>
                <w:bCs/>
                <w:color w:val="000000" w:themeColor="text1"/>
                <w:kern w:val="24"/>
                <w:sz w:val="24"/>
              </w:rPr>
              <w:t xml:space="preserve"> </w:t>
            </w:r>
            <w:r w:rsidRPr="007D0C37">
              <w:rPr>
                <w:rFonts w:ascii="Times New Roman" w:hAnsi="Times New Roman"/>
                <w:sz w:val="24"/>
              </w:rPr>
              <w:t>в разделе «Предложения и отзывы» (при наличии технической возможности).</w:t>
            </w:r>
          </w:p>
        </w:tc>
      </w:tr>
    </w:tbl>
    <w:p w:rsidR="00F52D50" w:rsidRPr="00686B3A" w:rsidRDefault="00F52D50" w:rsidP="008E0DFF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</w:p>
    <w:sectPr w:rsidR="00F52D50" w:rsidRPr="00686B3A" w:rsidSect="00606113">
      <w:headerReference w:type="default" r:id="rId8"/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378" w:rsidRDefault="00F34378" w:rsidP="001F441A">
      <w:pPr>
        <w:spacing w:after="0" w:line="240" w:lineRule="auto"/>
      </w:pPr>
      <w:r>
        <w:separator/>
      </w:r>
    </w:p>
  </w:endnote>
  <w:end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378" w:rsidRDefault="00F34378" w:rsidP="001F441A">
      <w:pPr>
        <w:spacing w:after="0" w:line="240" w:lineRule="auto"/>
      </w:pPr>
      <w:r>
        <w:separator/>
      </w:r>
    </w:p>
  </w:footnote>
  <w:footnote w:type="continuationSeparator" w:id="0">
    <w:p w:rsidR="00F34378" w:rsidRDefault="00F34378" w:rsidP="001F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F17" w:rsidRPr="00AA2E8A" w:rsidRDefault="00D71F17" w:rsidP="00D71F17">
    <w:pPr>
      <w:pStyle w:val="a5"/>
      <w:jc w:val="center"/>
      <w:rPr>
        <w:rFonts w:ascii="Times New Roman" w:hAnsi="Times New Roman" w:cs="Times New Roman"/>
        <w:b/>
        <w:sz w:val="28"/>
      </w:rPr>
    </w:pPr>
    <w:r>
      <w:rPr>
        <w:rFonts w:ascii="Times New Roman" w:hAnsi="Times New Roman" w:cs="Times New Roman"/>
        <w:b/>
        <w:sz w:val="28"/>
      </w:rPr>
      <w:t xml:space="preserve">Паспорт продукта </w:t>
    </w:r>
    <w:r w:rsidR="00B03B26">
      <w:rPr>
        <w:rFonts w:ascii="Times New Roman" w:hAnsi="Times New Roman" w:cs="Times New Roman"/>
        <w:b/>
        <w:sz w:val="28"/>
      </w:rPr>
      <w:t xml:space="preserve">Накопительный счет </w:t>
    </w:r>
    <w:r>
      <w:rPr>
        <w:rFonts w:ascii="Times New Roman" w:hAnsi="Times New Roman" w:cs="Times New Roman"/>
        <w:b/>
        <w:sz w:val="28"/>
      </w:rPr>
      <w:t>«</w:t>
    </w:r>
    <w:r w:rsidR="009778C3">
      <w:rPr>
        <w:rFonts w:ascii="Times New Roman" w:hAnsi="Times New Roman" w:cs="Times New Roman"/>
        <w:b/>
        <w:sz w:val="28"/>
      </w:rPr>
      <w:t>Копилка</w:t>
    </w:r>
    <w:r w:rsidR="004114BD" w:rsidRPr="004114BD">
      <w:rPr>
        <w:rFonts w:ascii="Times New Roman" w:hAnsi="Times New Roman" w:cs="Times New Roman"/>
        <w:b/>
        <w:sz w:val="28"/>
      </w:rPr>
      <w:t xml:space="preserve"> </w:t>
    </w:r>
    <w:r w:rsidR="004114BD">
      <w:rPr>
        <w:rFonts w:ascii="Times New Roman" w:hAnsi="Times New Roman" w:cs="Times New Roman"/>
        <w:b/>
        <w:sz w:val="28"/>
      </w:rPr>
      <w:t>Премиум</w:t>
    </w:r>
    <w:r w:rsidRPr="002640B4">
      <w:rPr>
        <w:rFonts w:ascii="Times New Roman" w:hAnsi="Times New Roman" w:cs="Times New Roman"/>
        <w:b/>
        <w:sz w:val="28"/>
      </w:rPr>
      <w:t>»</w:t>
    </w:r>
    <w:r w:rsidR="0072023C">
      <w:rPr>
        <w:rFonts w:ascii="Times New Roman" w:hAnsi="Times New Roman" w:cs="Times New Roman"/>
        <w:b/>
        <w:sz w:val="28"/>
      </w:rPr>
      <w:t xml:space="preserve"> в российских рублях</w:t>
    </w:r>
    <w:r>
      <w:rPr>
        <w:rFonts w:ascii="Times New Roman" w:hAnsi="Times New Roman" w:cs="Times New Roman"/>
        <w:b/>
        <w:sz w:val="2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5145A"/>
    <w:multiLevelType w:val="hybridMultilevel"/>
    <w:tmpl w:val="CA48C2E0"/>
    <w:lvl w:ilvl="0" w:tplc="44CCBB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F5588"/>
    <w:multiLevelType w:val="hybridMultilevel"/>
    <w:tmpl w:val="F5F8CE80"/>
    <w:lvl w:ilvl="0" w:tplc="ABBCB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B31C7"/>
    <w:multiLevelType w:val="multilevel"/>
    <w:tmpl w:val="C428B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0C37"/>
    <w:rsid w:val="000352EA"/>
    <w:rsid w:val="00036914"/>
    <w:rsid w:val="0006736C"/>
    <w:rsid w:val="000B36E7"/>
    <w:rsid w:val="000B7792"/>
    <w:rsid w:val="000C3CEC"/>
    <w:rsid w:val="000D1D10"/>
    <w:rsid w:val="001072BD"/>
    <w:rsid w:val="001243F2"/>
    <w:rsid w:val="00126AE4"/>
    <w:rsid w:val="001274AB"/>
    <w:rsid w:val="0013054F"/>
    <w:rsid w:val="001331C1"/>
    <w:rsid w:val="0015372A"/>
    <w:rsid w:val="00170639"/>
    <w:rsid w:val="001D581A"/>
    <w:rsid w:val="001F1044"/>
    <w:rsid w:val="001F441A"/>
    <w:rsid w:val="001F78C8"/>
    <w:rsid w:val="00201EFD"/>
    <w:rsid w:val="00214A47"/>
    <w:rsid w:val="00245C9F"/>
    <w:rsid w:val="00252301"/>
    <w:rsid w:val="002640B4"/>
    <w:rsid w:val="002834C7"/>
    <w:rsid w:val="002A044D"/>
    <w:rsid w:val="002A2C80"/>
    <w:rsid w:val="002A41D8"/>
    <w:rsid w:val="002B4B1D"/>
    <w:rsid w:val="002B60BE"/>
    <w:rsid w:val="002C12DD"/>
    <w:rsid w:val="002C62C5"/>
    <w:rsid w:val="002D25F8"/>
    <w:rsid w:val="002D31BD"/>
    <w:rsid w:val="002E2DD9"/>
    <w:rsid w:val="00305337"/>
    <w:rsid w:val="003103AD"/>
    <w:rsid w:val="003105D1"/>
    <w:rsid w:val="00315AFF"/>
    <w:rsid w:val="00320D54"/>
    <w:rsid w:val="003350A7"/>
    <w:rsid w:val="0033712E"/>
    <w:rsid w:val="00355B66"/>
    <w:rsid w:val="003A6C04"/>
    <w:rsid w:val="003F17B2"/>
    <w:rsid w:val="004051D4"/>
    <w:rsid w:val="00405327"/>
    <w:rsid w:val="004114BD"/>
    <w:rsid w:val="0043454F"/>
    <w:rsid w:val="00450858"/>
    <w:rsid w:val="00461B6D"/>
    <w:rsid w:val="0047569C"/>
    <w:rsid w:val="004967BE"/>
    <w:rsid w:val="004A261A"/>
    <w:rsid w:val="004B2102"/>
    <w:rsid w:val="004B7455"/>
    <w:rsid w:val="004C2F7F"/>
    <w:rsid w:val="00513962"/>
    <w:rsid w:val="005151DA"/>
    <w:rsid w:val="005232F0"/>
    <w:rsid w:val="005402FC"/>
    <w:rsid w:val="00547D4F"/>
    <w:rsid w:val="00567973"/>
    <w:rsid w:val="0058165A"/>
    <w:rsid w:val="00582203"/>
    <w:rsid w:val="00583074"/>
    <w:rsid w:val="00597883"/>
    <w:rsid w:val="00603A10"/>
    <w:rsid w:val="00606113"/>
    <w:rsid w:val="00632DC4"/>
    <w:rsid w:val="0065062F"/>
    <w:rsid w:val="00654B14"/>
    <w:rsid w:val="006833E1"/>
    <w:rsid w:val="00683EB6"/>
    <w:rsid w:val="00686B3A"/>
    <w:rsid w:val="006A1805"/>
    <w:rsid w:val="006B1C3C"/>
    <w:rsid w:val="006B36F6"/>
    <w:rsid w:val="006C1583"/>
    <w:rsid w:val="006C5AAD"/>
    <w:rsid w:val="006E7C21"/>
    <w:rsid w:val="00704B7A"/>
    <w:rsid w:val="0072023C"/>
    <w:rsid w:val="0072726F"/>
    <w:rsid w:val="00763A16"/>
    <w:rsid w:val="007A6377"/>
    <w:rsid w:val="007B6919"/>
    <w:rsid w:val="007C5055"/>
    <w:rsid w:val="007D0C37"/>
    <w:rsid w:val="007D340D"/>
    <w:rsid w:val="007E2767"/>
    <w:rsid w:val="007E44FC"/>
    <w:rsid w:val="00805AE9"/>
    <w:rsid w:val="00822389"/>
    <w:rsid w:val="0084142B"/>
    <w:rsid w:val="00845F4F"/>
    <w:rsid w:val="008A5585"/>
    <w:rsid w:val="008A5740"/>
    <w:rsid w:val="008A7379"/>
    <w:rsid w:val="008A7408"/>
    <w:rsid w:val="008D3CDD"/>
    <w:rsid w:val="008E00CD"/>
    <w:rsid w:val="008E0DFF"/>
    <w:rsid w:val="009131B8"/>
    <w:rsid w:val="00916101"/>
    <w:rsid w:val="00922E8C"/>
    <w:rsid w:val="00974470"/>
    <w:rsid w:val="0097676E"/>
    <w:rsid w:val="009778C3"/>
    <w:rsid w:val="009862EA"/>
    <w:rsid w:val="00992598"/>
    <w:rsid w:val="009A1001"/>
    <w:rsid w:val="009C5E7D"/>
    <w:rsid w:val="009E1FF9"/>
    <w:rsid w:val="00A364D1"/>
    <w:rsid w:val="00A47C27"/>
    <w:rsid w:val="00A63D4B"/>
    <w:rsid w:val="00A82869"/>
    <w:rsid w:val="00A97BA9"/>
    <w:rsid w:val="00AA2E8A"/>
    <w:rsid w:val="00AB7A4C"/>
    <w:rsid w:val="00AF53C3"/>
    <w:rsid w:val="00B03B26"/>
    <w:rsid w:val="00B2270B"/>
    <w:rsid w:val="00B22FC8"/>
    <w:rsid w:val="00B31F84"/>
    <w:rsid w:val="00B5567B"/>
    <w:rsid w:val="00B679E8"/>
    <w:rsid w:val="00B7474A"/>
    <w:rsid w:val="00B76DD8"/>
    <w:rsid w:val="00BE479D"/>
    <w:rsid w:val="00BE50E4"/>
    <w:rsid w:val="00BE66C8"/>
    <w:rsid w:val="00C07A56"/>
    <w:rsid w:val="00C15287"/>
    <w:rsid w:val="00C24AFE"/>
    <w:rsid w:val="00C82DB7"/>
    <w:rsid w:val="00C923DC"/>
    <w:rsid w:val="00CB2505"/>
    <w:rsid w:val="00CF4568"/>
    <w:rsid w:val="00D257B4"/>
    <w:rsid w:val="00D412EB"/>
    <w:rsid w:val="00D42D69"/>
    <w:rsid w:val="00D71A1B"/>
    <w:rsid w:val="00D71F17"/>
    <w:rsid w:val="00D972A4"/>
    <w:rsid w:val="00DC26B8"/>
    <w:rsid w:val="00DE097A"/>
    <w:rsid w:val="00E36F7C"/>
    <w:rsid w:val="00E463D8"/>
    <w:rsid w:val="00E50C37"/>
    <w:rsid w:val="00E5246E"/>
    <w:rsid w:val="00E549C3"/>
    <w:rsid w:val="00E670F0"/>
    <w:rsid w:val="00E74E80"/>
    <w:rsid w:val="00E8583E"/>
    <w:rsid w:val="00EA11EF"/>
    <w:rsid w:val="00EE6933"/>
    <w:rsid w:val="00F210A4"/>
    <w:rsid w:val="00F2120D"/>
    <w:rsid w:val="00F34378"/>
    <w:rsid w:val="00F45948"/>
    <w:rsid w:val="00F46FBF"/>
    <w:rsid w:val="00F52D50"/>
    <w:rsid w:val="00F67FE9"/>
    <w:rsid w:val="00F728F5"/>
    <w:rsid w:val="00F93423"/>
    <w:rsid w:val="00FA0487"/>
    <w:rsid w:val="00FA1E35"/>
    <w:rsid w:val="00FC0BDF"/>
    <w:rsid w:val="00FF23AD"/>
    <w:rsid w:val="00FF2685"/>
    <w:rsid w:val="00FF3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50C3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F441A"/>
  </w:style>
  <w:style w:type="paragraph" w:styleId="a7">
    <w:name w:val="footer"/>
    <w:basedOn w:val="a"/>
    <w:link w:val="a8"/>
    <w:uiPriority w:val="99"/>
    <w:unhideWhenUsed/>
    <w:rsid w:val="001F4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F441A"/>
  </w:style>
  <w:style w:type="paragraph" w:styleId="a9">
    <w:name w:val="List Paragraph"/>
    <w:basedOn w:val="a"/>
    <w:uiPriority w:val="34"/>
    <w:qFormat/>
    <w:rsid w:val="006A1805"/>
    <w:pPr>
      <w:spacing w:after="0" w:line="240" w:lineRule="auto"/>
      <w:ind w:left="708"/>
      <w:jc w:val="both"/>
    </w:pPr>
    <w:rPr>
      <w:rFonts w:ascii="Verdana" w:eastAsia="Times New Roman" w:hAnsi="Verdana" w:cs="Times New Roman"/>
      <w:sz w:val="16"/>
      <w:szCs w:val="24"/>
      <w:lang w:eastAsia="ru-RU"/>
    </w:rPr>
  </w:style>
  <w:style w:type="character" w:styleId="aa">
    <w:name w:val="Hyperlink"/>
    <w:basedOn w:val="a0"/>
    <w:uiPriority w:val="99"/>
    <w:unhideWhenUsed/>
    <w:rsid w:val="002640B4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2D25F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D25F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D25F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D25F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2D25F8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2D2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D25F8"/>
    <w:rPr>
      <w:rFonts w:ascii="Segoe UI" w:hAnsi="Segoe UI" w:cs="Segoe UI"/>
      <w:sz w:val="18"/>
      <w:szCs w:val="18"/>
    </w:rPr>
  </w:style>
  <w:style w:type="paragraph" w:styleId="af2">
    <w:name w:val="No Spacing"/>
    <w:uiPriority w:val="1"/>
    <w:qFormat/>
    <w:rsid w:val="00916101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3">
    <w:name w:val="Emphasis"/>
    <w:basedOn w:val="a0"/>
    <w:uiPriority w:val="20"/>
    <w:qFormat/>
    <w:rsid w:val="0033712E"/>
    <w:rPr>
      <w:i/>
      <w:iCs/>
    </w:rPr>
  </w:style>
  <w:style w:type="table" w:customStyle="1" w:styleId="TableNormal">
    <w:name w:val="Table Normal"/>
    <w:uiPriority w:val="2"/>
    <w:qFormat/>
    <w:rsid w:val="00F21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Title"/>
    <w:basedOn w:val="a"/>
    <w:next w:val="a"/>
    <w:link w:val="af5"/>
    <w:qFormat/>
    <w:rsid w:val="000B36E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f5">
    <w:name w:val="Название Знак"/>
    <w:basedOn w:val="a0"/>
    <w:link w:val="af4"/>
    <w:rsid w:val="000B36E7"/>
    <w:rPr>
      <w:rFonts w:ascii="Times New Roman" w:eastAsia="Times New Roman" w:hAnsi="Times New Roman" w:cs="Times New Roman"/>
      <w:b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Кабанова Ирина</dc:creator>
  <cp:lastModifiedBy>Generalovaa</cp:lastModifiedBy>
  <cp:revision>3</cp:revision>
  <dcterms:created xsi:type="dcterms:W3CDTF">2025-06-11T05:45:00Z</dcterms:created>
  <dcterms:modified xsi:type="dcterms:W3CDTF">2025-07-29T06:04:00Z</dcterms:modified>
</cp:coreProperties>
</file>