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4789"/>
      </w:tblGrid>
      <w:tr w:rsidR="00E50C37" w:rsidRPr="00686B3A" w14:paraId="4DA63326" w14:textId="77777777" w:rsidTr="00F728F5">
        <w:tc>
          <w:tcPr>
            <w:tcW w:w="9355" w:type="dxa"/>
            <w:gridSpan w:val="2"/>
          </w:tcPr>
          <w:p w14:paraId="3480D633" w14:textId="3CEE2253" w:rsidR="001F441A" w:rsidRPr="00686B3A" w:rsidRDefault="008E0DFF" w:rsidP="00E670F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E670F0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07.10</w:t>
            </w:r>
            <w:r w:rsidR="00FF3C16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.2024г</w:t>
            </w: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14:paraId="4DE86E30" w14:textId="77777777" w:rsidTr="00F728F5">
        <w:tc>
          <w:tcPr>
            <w:tcW w:w="4566" w:type="dxa"/>
          </w:tcPr>
          <w:p w14:paraId="7C0523B9" w14:textId="77777777"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EB17168" wp14:editId="285897BF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14:paraId="6C387820" w14:textId="77777777"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14:paraId="4D6550A5" w14:textId="77777777"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14:paraId="42D3AEDF" w14:textId="77777777"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14:paraId="46779DA3" w14:textId="77777777" w:rsidTr="00F728F5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14:paraId="68D804B9" w14:textId="77777777"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14:paraId="423A0C84" w14:textId="77777777"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14:paraId="47FEFF97" w14:textId="77777777"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14:paraId="1CA02351" w14:textId="77777777"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14:paraId="45925F49" w14:textId="77777777" w:rsidTr="00F728F5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14:paraId="75E74D6E" w14:textId="77777777"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</w:p>
        </w:tc>
      </w:tr>
      <w:tr w:rsidR="001072BD" w:rsidRPr="00686B3A" w14:paraId="0A5AA4A7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5E43C5" w14:textId="77777777"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14:paraId="78208471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526B441A" w14:textId="77777777" w:rsidR="001072BD" w:rsidRPr="00922E8C" w:rsidRDefault="001072BD" w:rsidP="001A3BD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«ПЕНСИОННЫЙ»</w:t>
            </w:r>
          </w:p>
        </w:tc>
      </w:tr>
      <w:tr w:rsidR="00E50C37" w:rsidRPr="00686B3A" w14:paraId="02FBDDB1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5CB94" w14:textId="77777777"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FAF3A" w14:textId="77777777" w:rsidR="001072BD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Право на открытие накопительного счета предоставляется физическим лицам, достигшим 14-летнего возраста и имеющим право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287">
              <w:rPr>
                <w:rFonts w:ascii="Times New Roman" w:hAnsi="Times New Roman" w:cs="Times New Roman"/>
                <w:sz w:val="24"/>
                <w:szCs w:val="24"/>
              </w:rPr>
              <w:t>Для открытия с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чета необходимо дополнительно предоставить пенсионное удостоверение либо другой документ, подтверждающий право физического лица на получение пенсионных  и социальных выплат, предусмотренных действующим законодательством Российской Федерации.</w:t>
            </w:r>
            <w:r w:rsidR="00067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736C" w:rsidRPr="0006736C">
              <w:rPr>
                <w:rFonts w:ascii="Times New Roman" w:hAnsi="Times New Roman" w:cs="Times New Roman"/>
                <w:sz w:val="24"/>
                <w:szCs w:val="24"/>
              </w:rPr>
              <w:t>В случае, когда право на трудовую пенсию по старости подтверждено достижением соответствующего возраста, а также когда до наступления пенсии по старости осталось не более одного года, предоставление пенсионного удостоверения не требуется.</w:t>
            </w:r>
          </w:p>
          <w:p w14:paraId="6D522254" w14:textId="77777777" w:rsidR="001072BD" w:rsidRPr="00686B3A" w:rsidRDefault="001072BD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14:paraId="75CA34FC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13747571" w14:textId="77777777"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14:paraId="5857FF6F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F9C95" w14:textId="77777777"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14:paraId="1406F5D8" w14:textId="77777777"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14:paraId="6A1220A7" w14:textId="77777777"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14:paraId="547BA7EB" w14:textId="77777777" w:rsidR="00686B3A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  <w:p w14:paraId="26E5C8E0" w14:textId="77777777" w:rsidR="00D71F17" w:rsidRPr="00D71F17" w:rsidRDefault="00D71F17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</w:p>
        </w:tc>
      </w:tr>
      <w:tr w:rsidR="00E50C37" w:rsidRPr="00686B3A" w14:paraId="69970AEC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42EF18CB" w14:textId="77777777"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14:paraId="04F74764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ADE24" w14:textId="77777777" w:rsidR="00992598" w:rsidRPr="00E670F0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 w:rsidR="00320D54">
              <w:rPr>
                <w:b/>
                <w:bCs/>
                <w:color w:val="000000" w:themeColor="text1"/>
                <w:kern w:val="24"/>
              </w:rPr>
              <w:t xml:space="preserve"> (минимальная сумма процентов, которые будут выплачены клиенту за год на минимально возможную сумму для размещения без учета дополнительных условий)</w:t>
            </w:r>
            <w:r w:rsidRPr="00F2120D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F2120D">
              <w:rPr>
                <w:iCs/>
                <w:color w:val="000000" w:themeColor="text1"/>
                <w:kern w:val="24"/>
              </w:rPr>
              <w:t xml:space="preserve">– </w:t>
            </w:r>
            <w:r w:rsidR="0072726F" w:rsidRPr="00E670F0">
              <w:rPr>
                <w:iCs/>
                <w:color w:val="000000" w:themeColor="text1"/>
                <w:kern w:val="24"/>
              </w:rPr>
              <w:t>6</w:t>
            </w:r>
            <w:r w:rsidR="00FA0487" w:rsidRPr="00E670F0">
              <w:rPr>
                <w:iCs/>
                <w:color w:val="000000" w:themeColor="text1"/>
                <w:kern w:val="24"/>
              </w:rPr>
              <w:t>.</w:t>
            </w:r>
            <w:r w:rsidR="001072BD" w:rsidRPr="00E670F0">
              <w:rPr>
                <w:iCs/>
                <w:color w:val="000000" w:themeColor="text1"/>
                <w:kern w:val="24"/>
              </w:rPr>
              <w:t>5</w:t>
            </w:r>
            <w:r w:rsidRPr="00E670F0">
              <w:rPr>
                <w:iCs/>
                <w:color w:val="000000" w:themeColor="text1"/>
                <w:kern w:val="24"/>
              </w:rPr>
              <w:t>% годовых</w:t>
            </w:r>
            <w:r w:rsidR="00320D54" w:rsidRPr="00E670F0">
              <w:rPr>
                <w:iCs/>
                <w:color w:val="000000" w:themeColor="text1"/>
                <w:kern w:val="24"/>
              </w:rPr>
              <w:t xml:space="preserve"> на фактический остаток денежных средств на счете на начало операционного дня</w:t>
            </w:r>
            <w:r w:rsidR="00597883" w:rsidRPr="00E670F0">
              <w:rPr>
                <w:iCs/>
                <w:color w:val="000000" w:themeColor="text1"/>
                <w:kern w:val="24"/>
              </w:rPr>
              <w:t xml:space="preserve">. </w:t>
            </w:r>
            <w:r w:rsidR="00632DC4" w:rsidRPr="00E670F0">
              <w:rPr>
                <w:iCs/>
                <w:color w:val="000000" w:themeColor="text1"/>
                <w:kern w:val="24"/>
              </w:rPr>
              <w:t>Процентная ставка может быть изменена Банком в одностороннем порядке.</w:t>
            </w:r>
          </w:p>
          <w:p w14:paraId="04790630" w14:textId="77777777" w:rsidR="00597883" w:rsidRPr="00F2120D" w:rsidRDefault="00992598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E670F0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E670F0">
              <w:rPr>
                <w:iCs/>
                <w:color w:val="000000" w:themeColor="text1"/>
                <w:kern w:val="24"/>
              </w:rPr>
              <w:t>–</w:t>
            </w:r>
            <w:r w:rsidR="00916101" w:rsidRPr="00E670F0">
              <w:rPr>
                <w:iCs/>
                <w:color w:val="000000" w:themeColor="text1"/>
                <w:kern w:val="24"/>
              </w:rPr>
              <w:t xml:space="preserve"> </w:t>
            </w:r>
            <w:r w:rsidR="0072726F" w:rsidRPr="00E670F0">
              <w:rPr>
                <w:iCs/>
                <w:color w:val="000000" w:themeColor="text1"/>
                <w:kern w:val="24"/>
              </w:rPr>
              <w:t>6</w:t>
            </w:r>
            <w:r w:rsidR="00FA0487" w:rsidRPr="00E670F0">
              <w:rPr>
                <w:iCs/>
                <w:color w:val="000000" w:themeColor="text1"/>
                <w:kern w:val="24"/>
              </w:rPr>
              <w:t>.</w:t>
            </w:r>
            <w:r w:rsidR="001072BD" w:rsidRPr="00E670F0">
              <w:rPr>
                <w:iCs/>
                <w:color w:val="000000" w:themeColor="text1"/>
                <w:kern w:val="24"/>
              </w:rPr>
              <w:t>5</w:t>
            </w:r>
            <w:r w:rsidR="00A47C27" w:rsidRPr="00E670F0">
              <w:rPr>
                <w:iCs/>
                <w:color w:val="000000" w:themeColor="text1"/>
                <w:kern w:val="24"/>
              </w:rPr>
              <w:t>% годовых</w:t>
            </w:r>
            <w:r w:rsidR="00916101" w:rsidRPr="00E670F0">
              <w:rPr>
                <w:iCs/>
                <w:color w:val="000000" w:themeColor="text1"/>
                <w:kern w:val="24"/>
              </w:rPr>
              <w:t>.</w:t>
            </w:r>
            <w:r w:rsidR="00597883" w:rsidRPr="00E670F0">
              <w:rPr>
                <w:iCs/>
                <w:color w:val="000000" w:themeColor="text1"/>
                <w:kern w:val="24"/>
              </w:rPr>
              <w:t xml:space="preserve"> Процентная</w:t>
            </w:r>
            <w:r w:rsidR="00597883">
              <w:rPr>
                <w:iCs/>
                <w:color w:val="000000" w:themeColor="text1"/>
                <w:kern w:val="24"/>
              </w:rPr>
              <w:t xml:space="preserve"> ставка может быть изменена Банком в одностороннем порядке</w:t>
            </w:r>
            <w:r w:rsidR="00320D54">
              <w:rPr>
                <w:iCs/>
                <w:color w:val="000000" w:themeColor="text1"/>
                <w:kern w:val="24"/>
              </w:rPr>
              <w:t>.</w:t>
            </w:r>
          </w:p>
          <w:p w14:paraId="31EF23A0" w14:textId="77777777" w:rsidR="00992598" w:rsidRPr="00F2120D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20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F2120D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="00A47C27">
              <w:rPr>
                <w:rFonts w:ascii="Times New Roman" w:hAnsi="Times New Roman" w:cs="Times New Roman"/>
                <w:sz w:val="24"/>
                <w:szCs w:val="24"/>
              </w:rPr>
              <w:t>– о</w:t>
            </w:r>
            <w:r w:rsidRPr="00F2120D">
              <w:rPr>
                <w:rFonts w:ascii="Times New Roman" w:hAnsi="Times New Roman" w:cs="Times New Roman"/>
                <w:sz w:val="24"/>
                <w:szCs w:val="24"/>
              </w:rPr>
              <w:t>тсутствуют</w:t>
            </w:r>
            <w:r w:rsidR="00A4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366FD7" w14:textId="77777777" w:rsidR="00A47C27" w:rsidRDefault="00597883" w:rsidP="00597883">
            <w:pPr>
              <w:pStyle w:val="af2"/>
              <w:contextualSpacing/>
              <w:jc w:val="both"/>
            </w:pPr>
            <w:r w:rsidRPr="00F2120D">
              <w:rPr>
                <w:b/>
                <w:bCs/>
                <w:color w:val="000000" w:themeColor="text1"/>
                <w:kern w:val="24"/>
              </w:rPr>
              <w:lastRenderedPageBreak/>
              <w:t xml:space="preserve">Порядок начисления и получения процентов </w:t>
            </w:r>
            <w:r w:rsidRPr="00F2120D">
              <w:t xml:space="preserve">– 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начисление процентов осуществляется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«Пенсионный</w:t>
            </w:r>
            <w:bookmarkStart w:id="0" w:name="_GoBack"/>
            <w:bookmarkEnd w:id="0"/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</w:p>
          <w:p w14:paraId="496D6638" w14:textId="77777777" w:rsidR="00686B3A" w:rsidRPr="00F2120D" w:rsidRDefault="00A47C27" w:rsidP="00A47C27">
            <w:pPr>
              <w:pStyle w:val="af2"/>
              <w:contextualSpacing/>
              <w:jc w:val="both"/>
            </w:pPr>
            <w:r>
              <w:t xml:space="preserve"> </w:t>
            </w:r>
          </w:p>
        </w:tc>
      </w:tr>
      <w:tr w:rsidR="00E50C37" w:rsidRPr="00686B3A" w14:paraId="7FB497C5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1D7A8106" w14:textId="77777777"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14:paraId="2FA14681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F638A" w14:textId="77777777"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14:paraId="0B0A9275" w14:textId="77777777"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14:paraId="6D50B32E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591A9EF3" w14:textId="77777777"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14:paraId="2B76C698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6E2EC" w14:textId="77777777" w:rsidR="001F441A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п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</w:t>
            </w:r>
            <w:r w:rsidR="00F728F5" w:rsidRP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Агророс онлайн 2.0 (при наличии технической возможности)</w:t>
            </w:r>
            <w:r w:rsidR="00F728F5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596C5146" w14:textId="77777777"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14:paraId="47FD6AA9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06AD78BC" w14:textId="77777777"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14:paraId="02BA6EFD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F1AF3B" w14:textId="77777777"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14:paraId="55DC6278" w14:textId="77777777"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14:paraId="57A582AF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454087C6" w14:textId="77777777"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14:paraId="466C5D67" w14:textId="77777777" w:rsidTr="00F728F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93568F" w14:textId="77777777"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14:paraId="5544C768" w14:textId="77777777" w:rsidTr="00F728F5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14:paraId="46480DC3" w14:textId="77777777"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14:paraId="11F21411" w14:textId="77777777" w:rsidTr="00F728F5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14:paraId="4AA2CB41" w14:textId="77777777"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14:paraId="625C5AB9" w14:textId="77777777"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14:paraId="0C114A72" w14:textId="77777777"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14:paraId="0E61A5B9" w14:textId="77777777"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14:paraId="531F676C" w14:textId="77777777"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14:paraId="76CF836E" w14:textId="77777777"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14:paraId="0EF88275" w14:textId="77777777"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A64E7" w14:textId="77777777" w:rsidR="006B1C3C" w:rsidRDefault="006B1C3C" w:rsidP="001F441A">
      <w:pPr>
        <w:spacing w:after="0" w:line="240" w:lineRule="auto"/>
      </w:pPr>
      <w:r>
        <w:separator/>
      </w:r>
    </w:p>
  </w:endnote>
  <w:endnote w:type="continuationSeparator" w:id="0">
    <w:p w14:paraId="69465A8E" w14:textId="77777777" w:rsidR="006B1C3C" w:rsidRDefault="006B1C3C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EBA96" w14:textId="77777777" w:rsidR="006B1C3C" w:rsidRDefault="006B1C3C" w:rsidP="001F441A">
      <w:pPr>
        <w:spacing w:after="0" w:line="240" w:lineRule="auto"/>
      </w:pPr>
      <w:r>
        <w:separator/>
      </w:r>
    </w:p>
  </w:footnote>
  <w:footnote w:type="continuationSeparator" w:id="0">
    <w:p w14:paraId="1E73314D" w14:textId="77777777" w:rsidR="006B1C3C" w:rsidRDefault="006B1C3C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AD97E" w14:textId="77777777"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«Пенсионный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37"/>
    <w:rsid w:val="000352EA"/>
    <w:rsid w:val="00036914"/>
    <w:rsid w:val="0006736C"/>
    <w:rsid w:val="000B36E7"/>
    <w:rsid w:val="000B7792"/>
    <w:rsid w:val="000D1D10"/>
    <w:rsid w:val="001072BD"/>
    <w:rsid w:val="00126AE4"/>
    <w:rsid w:val="001331C1"/>
    <w:rsid w:val="0015372A"/>
    <w:rsid w:val="00170639"/>
    <w:rsid w:val="001D581A"/>
    <w:rsid w:val="001F1044"/>
    <w:rsid w:val="001F441A"/>
    <w:rsid w:val="001F78C8"/>
    <w:rsid w:val="00201EFD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62C5"/>
    <w:rsid w:val="002D25F8"/>
    <w:rsid w:val="002E2DD9"/>
    <w:rsid w:val="00305337"/>
    <w:rsid w:val="003103AD"/>
    <w:rsid w:val="00315AFF"/>
    <w:rsid w:val="00320D54"/>
    <w:rsid w:val="003350A7"/>
    <w:rsid w:val="0033712E"/>
    <w:rsid w:val="00355B66"/>
    <w:rsid w:val="003A6C04"/>
    <w:rsid w:val="00405327"/>
    <w:rsid w:val="0043454F"/>
    <w:rsid w:val="00450858"/>
    <w:rsid w:val="00461B6D"/>
    <w:rsid w:val="0047569C"/>
    <w:rsid w:val="004967BE"/>
    <w:rsid w:val="004B7455"/>
    <w:rsid w:val="00513962"/>
    <w:rsid w:val="005232F0"/>
    <w:rsid w:val="005402FC"/>
    <w:rsid w:val="00547D4F"/>
    <w:rsid w:val="0058165A"/>
    <w:rsid w:val="00583074"/>
    <w:rsid w:val="00597883"/>
    <w:rsid w:val="00603A10"/>
    <w:rsid w:val="00632DC4"/>
    <w:rsid w:val="00654B14"/>
    <w:rsid w:val="006833E1"/>
    <w:rsid w:val="00686B3A"/>
    <w:rsid w:val="006A1805"/>
    <w:rsid w:val="006B1C3C"/>
    <w:rsid w:val="006C5AAD"/>
    <w:rsid w:val="0072023C"/>
    <w:rsid w:val="0072726F"/>
    <w:rsid w:val="00763A16"/>
    <w:rsid w:val="007A6377"/>
    <w:rsid w:val="007B6919"/>
    <w:rsid w:val="007D0C37"/>
    <w:rsid w:val="00805AE9"/>
    <w:rsid w:val="00822389"/>
    <w:rsid w:val="0084142B"/>
    <w:rsid w:val="00845F4F"/>
    <w:rsid w:val="008A5585"/>
    <w:rsid w:val="008A7408"/>
    <w:rsid w:val="008D3CDD"/>
    <w:rsid w:val="008E0DFF"/>
    <w:rsid w:val="009131B8"/>
    <w:rsid w:val="00916101"/>
    <w:rsid w:val="00922E8C"/>
    <w:rsid w:val="0097676E"/>
    <w:rsid w:val="00992598"/>
    <w:rsid w:val="009A1001"/>
    <w:rsid w:val="009E1FF9"/>
    <w:rsid w:val="00A47C27"/>
    <w:rsid w:val="00A63D4B"/>
    <w:rsid w:val="00A82869"/>
    <w:rsid w:val="00A97BA9"/>
    <w:rsid w:val="00AA2E8A"/>
    <w:rsid w:val="00AB7A4C"/>
    <w:rsid w:val="00AF53C3"/>
    <w:rsid w:val="00B03B26"/>
    <w:rsid w:val="00B22FC8"/>
    <w:rsid w:val="00B5567B"/>
    <w:rsid w:val="00B679E8"/>
    <w:rsid w:val="00B7474A"/>
    <w:rsid w:val="00B76DD8"/>
    <w:rsid w:val="00C07A56"/>
    <w:rsid w:val="00C15287"/>
    <w:rsid w:val="00C24AFE"/>
    <w:rsid w:val="00C923DC"/>
    <w:rsid w:val="00CB2505"/>
    <w:rsid w:val="00D257B4"/>
    <w:rsid w:val="00D42D69"/>
    <w:rsid w:val="00D71F17"/>
    <w:rsid w:val="00DC26B8"/>
    <w:rsid w:val="00DE097A"/>
    <w:rsid w:val="00E36F7C"/>
    <w:rsid w:val="00E463D8"/>
    <w:rsid w:val="00E50C37"/>
    <w:rsid w:val="00E5246E"/>
    <w:rsid w:val="00E670F0"/>
    <w:rsid w:val="00EA11EF"/>
    <w:rsid w:val="00EE6933"/>
    <w:rsid w:val="00F210A4"/>
    <w:rsid w:val="00F2120D"/>
    <w:rsid w:val="00F45948"/>
    <w:rsid w:val="00F52D50"/>
    <w:rsid w:val="00F67FE9"/>
    <w:rsid w:val="00F728F5"/>
    <w:rsid w:val="00FA0487"/>
    <w:rsid w:val="00FC0BDF"/>
    <w:rsid w:val="00FF23AD"/>
    <w:rsid w:val="00FF2685"/>
    <w:rsid w:val="00F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C640D"/>
  <w15:docId w15:val="{56235618-5256-4781-8B64-517989F5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Заголовок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ait</cp:lastModifiedBy>
  <cp:revision>3</cp:revision>
  <dcterms:created xsi:type="dcterms:W3CDTF">2024-10-02T08:57:00Z</dcterms:created>
  <dcterms:modified xsi:type="dcterms:W3CDTF">2024-10-02T10:29:00Z</dcterms:modified>
</cp:coreProperties>
</file>